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CA06" w14:textId="77777777" w:rsidR="00C84A84" w:rsidRPr="00C84A84" w:rsidRDefault="00C84A84" w:rsidP="00C84A84">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C84A84">
        <w:rPr>
          <w:rFonts w:ascii="Verdana" w:eastAsia="Times New Roman" w:hAnsi="Verdana" w:cs="Times New Roman"/>
          <w:color w:val="CC3300"/>
          <w:kern w:val="36"/>
          <w:sz w:val="36"/>
          <w:szCs w:val="36"/>
          <w:lang w:eastAsia="fr-BE"/>
        </w:rPr>
        <w:t>Le marché soutenu par la demande chinoise</w:t>
      </w:r>
    </w:p>
    <w:p w14:paraId="5FCA65F0" w14:textId="77777777" w:rsidR="00C84A84" w:rsidRDefault="00C84A84" w:rsidP="00C84A84">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77DC80A3" w14:textId="06254B67" w:rsidR="00C84A84" w:rsidRPr="00C84A84" w:rsidRDefault="00C84A84" w:rsidP="00C84A84">
      <w:pPr>
        <w:shd w:val="clear" w:color="auto" w:fill="FFFFFF"/>
        <w:spacing w:before="75" w:after="75" w:line="240" w:lineRule="auto"/>
        <w:jc w:val="both"/>
        <w:rPr>
          <w:rFonts w:ascii="Verdana" w:eastAsia="Times New Roman" w:hAnsi="Verdana" w:cs="Times New Roman"/>
          <w:color w:val="000000"/>
          <w:sz w:val="23"/>
          <w:szCs w:val="23"/>
          <w:lang w:eastAsia="fr-BE"/>
        </w:rPr>
      </w:pPr>
      <w:r w:rsidRPr="00C84A84">
        <w:rPr>
          <w:rFonts w:ascii="Verdana" w:eastAsia="Times New Roman" w:hAnsi="Verdana" w:cs="Times New Roman"/>
          <w:color w:val="000000"/>
          <w:sz w:val="23"/>
          <w:szCs w:val="23"/>
          <w:lang w:eastAsia="fr-BE"/>
        </w:rPr>
        <w:t>Portés par des signes de reprise de la demande chinoise, des perturbations dans l’offre et l’affaiblissement du dollar, les cours du </w:t>
      </w:r>
      <w:r w:rsidRPr="00C84A84">
        <w:rPr>
          <w:rFonts w:ascii="Verdana" w:eastAsia="Times New Roman" w:hAnsi="Verdana" w:cs="Times New Roman"/>
          <w:color w:val="000000"/>
          <w:sz w:val="23"/>
          <w:szCs w:val="23"/>
          <w:u w:val="single"/>
          <w:lang w:eastAsia="fr-BE"/>
        </w:rPr>
        <w:t>cuivre</w:t>
      </w:r>
      <w:r w:rsidRPr="00C84A84">
        <w:rPr>
          <w:rFonts w:ascii="Verdana" w:eastAsia="Times New Roman" w:hAnsi="Verdana" w:cs="Times New Roman"/>
          <w:color w:val="000000"/>
          <w:sz w:val="23"/>
          <w:szCs w:val="23"/>
          <w:lang w:eastAsia="fr-BE"/>
        </w:rPr>
        <w:t> ont gagné du terrain. Le contrat à trois mois du cuivre cote en hausse de 0,4%, à 9.035 $/t, inversant la tendance enregistrée en début de séance, où il a perdu jusqu’à 0,7%. Les fonderies de cuivre chinoises ont concédé une baisse des frais de traitement et d’affinage des concentrés de cuivre pour le second trimestre. Cette contraction reflète la baisse des disponibilités de concentrés. « </w:t>
      </w:r>
      <w:r w:rsidRPr="00C84A84">
        <w:rPr>
          <w:rFonts w:ascii="Verdana" w:eastAsia="Times New Roman" w:hAnsi="Verdana" w:cs="Times New Roman"/>
          <w:i/>
          <w:iCs/>
          <w:color w:val="000000"/>
          <w:sz w:val="23"/>
          <w:szCs w:val="23"/>
          <w:lang w:eastAsia="fr-BE"/>
        </w:rPr>
        <w:t>Ce recul indique que, soit la demande des fonderies est forte - qui reflète celle, satisfaisante, des usines en amont - soit la production minière est décevante</w:t>
      </w:r>
      <w:r w:rsidRPr="00C84A84">
        <w:rPr>
          <w:rFonts w:ascii="Verdana" w:eastAsia="Times New Roman" w:hAnsi="Verdana" w:cs="Times New Roman"/>
          <w:color w:val="000000"/>
          <w:sz w:val="23"/>
          <w:szCs w:val="23"/>
          <w:lang w:eastAsia="fr-BE"/>
        </w:rPr>
        <w:t xml:space="preserve">, explique Dan Smith, responsable de la recherche pour </w:t>
      </w:r>
      <w:proofErr w:type="spellStart"/>
      <w:r w:rsidRPr="00C84A84">
        <w:rPr>
          <w:rFonts w:ascii="Verdana" w:eastAsia="Times New Roman" w:hAnsi="Verdana" w:cs="Times New Roman"/>
          <w:color w:val="000000"/>
          <w:sz w:val="23"/>
          <w:szCs w:val="23"/>
          <w:lang w:eastAsia="fr-BE"/>
        </w:rPr>
        <w:t>Amalgamated</w:t>
      </w:r>
      <w:proofErr w:type="spellEnd"/>
      <w:r w:rsidRPr="00C84A84">
        <w:rPr>
          <w:rFonts w:ascii="Verdana" w:eastAsia="Times New Roman" w:hAnsi="Verdana" w:cs="Times New Roman"/>
          <w:color w:val="000000"/>
          <w:sz w:val="23"/>
          <w:szCs w:val="23"/>
          <w:lang w:eastAsia="fr-BE"/>
        </w:rPr>
        <w:t xml:space="preserve"> </w:t>
      </w:r>
      <w:proofErr w:type="spellStart"/>
      <w:r w:rsidRPr="00C84A84">
        <w:rPr>
          <w:rFonts w:ascii="Verdana" w:eastAsia="Times New Roman" w:hAnsi="Verdana" w:cs="Times New Roman"/>
          <w:color w:val="000000"/>
          <w:sz w:val="23"/>
          <w:szCs w:val="23"/>
          <w:lang w:eastAsia="fr-BE"/>
        </w:rPr>
        <w:t>Metal</w:t>
      </w:r>
      <w:proofErr w:type="spellEnd"/>
      <w:r w:rsidRPr="00C84A84">
        <w:rPr>
          <w:rFonts w:ascii="Verdana" w:eastAsia="Times New Roman" w:hAnsi="Verdana" w:cs="Times New Roman"/>
          <w:color w:val="000000"/>
          <w:sz w:val="23"/>
          <w:szCs w:val="23"/>
          <w:lang w:eastAsia="fr-BE"/>
        </w:rPr>
        <w:t xml:space="preserve"> Trading.</w:t>
      </w:r>
      <w:r w:rsidRPr="00C84A84">
        <w:rPr>
          <w:rFonts w:ascii="Verdana" w:eastAsia="Times New Roman" w:hAnsi="Verdana" w:cs="Times New Roman"/>
          <w:i/>
          <w:iCs/>
          <w:color w:val="000000"/>
          <w:sz w:val="23"/>
          <w:szCs w:val="23"/>
          <w:lang w:eastAsia="fr-BE"/>
        </w:rPr>
        <w:t> Les fonderies chinoises accélèrent la cadence, car elles savent qu’elles vont vendre leur métal. Il y a des points de tensions dans la chaîne d’approvisionnement </w:t>
      </w:r>
      <w:r w:rsidRPr="00C84A84">
        <w:rPr>
          <w:rFonts w:ascii="Verdana" w:eastAsia="Times New Roman" w:hAnsi="Verdana" w:cs="Times New Roman"/>
          <w:color w:val="000000"/>
          <w:sz w:val="23"/>
          <w:szCs w:val="23"/>
          <w:lang w:eastAsia="fr-BE"/>
        </w:rPr>
        <w:t>». « </w:t>
      </w:r>
      <w:r w:rsidRPr="00C84A84">
        <w:rPr>
          <w:rFonts w:ascii="Verdana" w:eastAsia="Times New Roman" w:hAnsi="Verdana" w:cs="Times New Roman"/>
          <w:i/>
          <w:iCs/>
          <w:color w:val="000000"/>
          <w:sz w:val="23"/>
          <w:szCs w:val="23"/>
          <w:lang w:eastAsia="fr-BE"/>
        </w:rPr>
        <w:t>Les observateurs croient de plus en plus que l’offre en cuivre va se tendre quand les vents contraires se seront affaiblis, ce qui pourrait exacerber les tensions sur les disponibilités</w:t>
      </w:r>
      <w:r w:rsidRPr="00C84A84">
        <w:rPr>
          <w:rFonts w:ascii="Verdana" w:eastAsia="Times New Roman" w:hAnsi="Verdana" w:cs="Times New Roman"/>
          <w:color w:val="000000"/>
          <w:sz w:val="23"/>
          <w:szCs w:val="23"/>
          <w:lang w:eastAsia="fr-BE"/>
        </w:rPr>
        <w:t> », indiquent les analystes d’ANZ, dans une note.</w:t>
      </w:r>
    </w:p>
    <w:p w14:paraId="613FF2BC" w14:textId="77777777" w:rsidR="00C84A84" w:rsidRPr="00C84A84" w:rsidRDefault="00C84A84" w:rsidP="00C84A84">
      <w:pPr>
        <w:shd w:val="clear" w:color="auto" w:fill="FFFFFF"/>
        <w:spacing w:before="75" w:after="75" w:line="240" w:lineRule="auto"/>
        <w:jc w:val="both"/>
        <w:rPr>
          <w:rFonts w:ascii="Verdana" w:eastAsia="Times New Roman" w:hAnsi="Verdana" w:cs="Times New Roman"/>
          <w:color w:val="000000"/>
          <w:sz w:val="23"/>
          <w:szCs w:val="23"/>
          <w:lang w:eastAsia="fr-BE"/>
        </w:rPr>
      </w:pPr>
      <w:r w:rsidRPr="00C84A84">
        <w:rPr>
          <w:rFonts w:ascii="Verdana" w:eastAsia="Times New Roman" w:hAnsi="Verdana" w:cs="Times New Roman"/>
          <w:color w:val="000000"/>
          <w:sz w:val="23"/>
          <w:szCs w:val="23"/>
          <w:lang w:eastAsia="fr-BE"/>
        </w:rPr>
        <w:t>Les autres métaux sont dans le vert également : le </w:t>
      </w:r>
      <w:r w:rsidRPr="00C84A84">
        <w:rPr>
          <w:rFonts w:ascii="Verdana" w:eastAsia="Times New Roman" w:hAnsi="Verdana" w:cs="Times New Roman"/>
          <w:color w:val="000000"/>
          <w:sz w:val="23"/>
          <w:szCs w:val="23"/>
          <w:u w:val="single"/>
          <w:lang w:eastAsia="fr-BE"/>
        </w:rPr>
        <w:t>zinc</w:t>
      </w:r>
      <w:r w:rsidRPr="00C84A84">
        <w:rPr>
          <w:rFonts w:ascii="Verdana" w:eastAsia="Times New Roman" w:hAnsi="Verdana" w:cs="Times New Roman"/>
          <w:color w:val="000000"/>
          <w:sz w:val="23"/>
          <w:szCs w:val="23"/>
          <w:lang w:eastAsia="fr-BE"/>
        </w:rPr>
        <w:t> et le </w:t>
      </w:r>
      <w:r w:rsidRPr="00C84A84">
        <w:rPr>
          <w:rFonts w:ascii="Verdana" w:eastAsia="Times New Roman" w:hAnsi="Verdana" w:cs="Times New Roman"/>
          <w:color w:val="000000"/>
          <w:sz w:val="23"/>
          <w:szCs w:val="23"/>
          <w:u w:val="single"/>
          <w:lang w:eastAsia="fr-BE"/>
        </w:rPr>
        <w:t>nickel</w:t>
      </w:r>
      <w:r w:rsidRPr="00C84A84">
        <w:rPr>
          <w:rFonts w:ascii="Verdana" w:eastAsia="Times New Roman" w:hAnsi="Verdana" w:cs="Times New Roman"/>
          <w:color w:val="000000"/>
          <w:sz w:val="23"/>
          <w:szCs w:val="23"/>
          <w:lang w:eastAsia="fr-BE"/>
        </w:rPr>
        <w:t> sont à l’équilibre, tandis que l’</w:t>
      </w:r>
      <w:r w:rsidRPr="00C84A84">
        <w:rPr>
          <w:rFonts w:ascii="Verdana" w:eastAsia="Times New Roman" w:hAnsi="Verdana" w:cs="Times New Roman"/>
          <w:color w:val="000000"/>
          <w:sz w:val="23"/>
          <w:szCs w:val="23"/>
          <w:u w:val="single"/>
          <w:lang w:eastAsia="fr-BE"/>
        </w:rPr>
        <w:t>aluminium</w:t>
      </w:r>
      <w:r w:rsidRPr="00C84A84">
        <w:rPr>
          <w:rFonts w:ascii="Verdana" w:eastAsia="Times New Roman" w:hAnsi="Verdana" w:cs="Times New Roman"/>
          <w:color w:val="000000"/>
          <w:sz w:val="23"/>
          <w:szCs w:val="23"/>
          <w:lang w:eastAsia="fr-BE"/>
        </w:rPr>
        <w:t> et le </w:t>
      </w:r>
      <w:r w:rsidRPr="00C84A84">
        <w:rPr>
          <w:rFonts w:ascii="Verdana" w:eastAsia="Times New Roman" w:hAnsi="Verdana" w:cs="Times New Roman"/>
          <w:color w:val="000000"/>
          <w:sz w:val="23"/>
          <w:szCs w:val="23"/>
          <w:u w:val="single"/>
          <w:lang w:eastAsia="fr-BE"/>
        </w:rPr>
        <w:t>plomb</w:t>
      </w:r>
      <w:r w:rsidRPr="00C84A84">
        <w:rPr>
          <w:rFonts w:ascii="Verdana" w:eastAsia="Times New Roman" w:hAnsi="Verdana" w:cs="Times New Roman"/>
          <w:color w:val="000000"/>
          <w:sz w:val="23"/>
          <w:szCs w:val="23"/>
          <w:lang w:eastAsia="fr-BE"/>
        </w:rPr>
        <w:t> progressent de 0,4%, et l’</w:t>
      </w:r>
      <w:r w:rsidRPr="00C84A84">
        <w:rPr>
          <w:rFonts w:ascii="Verdana" w:eastAsia="Times New Roman" w:hAnsi="Verdana" w:cs="Times New Roman"/>
          <w:color w:val="000000"/>
          <w:sz w:val="23"/>
          <w:szCs w:val="23"/>
          <w:u w:val="single"/>
          <w:lang w:eastAsia="fr-BE"/>
        </w:rPr>
        <w:t>étain</w:t>
      </w:r>
      <w:r w:rsidRPr="00C84A84">
        <w:rPr>
          <w:rFonts w:ascii="Verdana" w:eastAsia="Times New Roman" w:hAnsi="Verdana" w:cs="Times New Roman"/>
          <w:color w:val="000000"/>
          <w:sz w:val="23"/>
          <w:szCs w:val="23"/>
          <w:lang w:eastAsia="fr-BE"/>
        </w:rPr>
        <w:t> de 0,6%.</w:t>
      </w:r>
    </w:p>
    <w:p w14:paraId="6D500A82" w14:textId="77777777" w:rsidR="00C84A84" w:rsidRPr="00C84A84" w:rsidRDefault="00C84A84" w:rsidP="00C84A84">
      <w:pPr>
        <w:shd w:val="clear" w:color="auto" w:fill="FFFFFF"/>
        <w:spacing w:before="75" w:after="75" w:line="240" w:lineRule="auto"/>
        <w:jc w:val="both"/>
        <w:rPr>
          <w:rFonts w:ascii="Verdana" w:eastAsia="Times New Roman" w:hAnsi="Verdana" w:cs="Times New Roman"/>
          <w:color w:val="000000"/>
          <w:sz w:val="23"/>
          <w:szCs w:val="23"/>
          <w:lang w:eastAsia="fr-BE"/>
        </w:rPr>
      </w:pPr>
      <w:r w:rsidRPr="00C84A84">
        <w:rPr>
          <w:rFonts w:ascii="Verdana" w:eastAsia="Times New Roman" w:hAnsi="Verdana" w:cs="Times New Roman"/>
          <w:color w:val="000000"/>
          <w:sz w:val="23"/>
          <w:szCs w:val="23"/>
          <w:lang w:eastAsia="fr-BE"/>
        </w:rPr>
        <w:t>L’</w:t>
      </w:r>
      <w:r w:rsidRPr="00C84A84">
        <w:rPr>
          <w:rFonts w:ascii="Verdana" w:eastAsia="Times New Roman" w:hAnsi="Verdana" w:cs="Times New Roman"/>
          <w:color w:val="000000"/>
          <w:sz w:val="23"/>
          <w:szCs w:val="23"/>
          <w:u w:val="single"/>
          <w:lang w:eastAsia="fr-BE"/>
        </w:rPr>
        <w:t>or</w:t>
      </w:r>
      <w:r w:rsidRPr="00C84A84">
        <w:rPr>
          <w:rFonts w:ascii="Verdana" w:eastAsia="Times New Roman" w:hAnsi="Verdana" w:cs="Times New Roman"/>
          <w:color w:val="000000"/>
          <w:sz w:val="23"/>
          <w:szCs w:val="23"/>
          <w:lang w:eastAsia="fr-BE"/>
        </w:rPr>
        <w:t xml:space="preserve"> profite de la contraction du dollar pour gagner un peu de terrain (+0,2%, </w:t>
      </w:r>
      <w:proofErr w:type="gramStart"/>
      <w:r w:rsidRPr="00C84A84">
        <w:rPr>
          <w:rFonts w:ascii="Verdana" w:eastAsia="Times New Roman" w:hAnsi="Verdana" w:cs="Times New Roman"/>
          <w:color w:val="000000"/>
          <w:sz w:val="23"/>
          <w:szCs w:val="23"/>
          <w:lang w:eastAsia="fr-BE"/>
        </w:rPr>
        <w:t>à</w:t>
      </w:r>
      <w:proofErr w:type="gramEnd"/>
      <w:r w:rsidRPr="00C84A84">
        <w:rPr>
          <w:rFonts w:ascii="Verdana" w:eastAsia="Times New Roman" w:hAnsi="Verdana" w:cs="Times New Roman"/>
          <w:color w:val="000000"/>
          <w:sz w:val="23"/>
          <w:szCs w:val="23"/>
          <w:lang w:eastAsia="fr-BE"/>
        </w:rPr>
        <w:t xml:space="preserve"> 1.967 $/once), les investisseurs étant dans l’attente de données américaines.</w:t>
      </w:r>
    </w:p>
    <w:p w14:paraId="15A4F3DF" w14:textId="77777777" w:rsidR="006B632C" w:rsidRDefault="006B632C"/>
    <w:sectPr w:rsidR="006B63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84"/>
    <w:rsid w:val="006B632C"/>
    <w:rsid w:val="00C84A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E1D5"/>
  <w15:chartTrackingRefBased/>
  <w15:docId w15:val="{9BA1821A-0A98-4406-B0A1-8A229A97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8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1308</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2023-04-03T08:14:00Z</dcterms:created>
  <dcterms:modified xsi:type="dcterms:W3CDTF">2023-04-03T08:14:00Z</dcterms:modified>
</cp:coreProperties>
</file>